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453B" w14:textId="2D3BE9D9" w:rsidR="00CC4DB7" w:rsidRPr="00902E3B" w:rsidRDefault="2396B0AE" w:rsidP="2396B0AE">
      <w:pPr>
        <w:widowControl w:val="0"/>
        <w:jc w:val="center"/>
        <w:rPr>
          <w:rFonts w:asciiTheme="minorHAnsi" w:hAnsiTheme="minorHAnsi" w:cstheme="minorBidi"/>
        </w:rPr>
      </w:pPr>
      <w:r w:rsidRPr="2396B0AE">
        <w:rPr>
          <w:rFonts w:asciiTheme="minorHAnsi" w:hAnsiTheme="minorHAnsi" w:cstheme="minorBidi"/>
          <w:b/>
          <w:bCs/>
        </w:rPr>
        <w:t>Job Announcement</w:t>
      </w:r>
    </w:p>
    <w:p w14:paraId="66699F43" w14:textId="6C212CEE" w:rsidR="00CC4DB7" w:rsidRPr="00902E3B" w:rsidRDefault="00CC4DB7" w:rsidP="2396B0AE">
      <w:pPr>
        <w:widowControl w:val="0"/>
        <w:jc w:val="center"/>
        <w:rPr>
          <w:rFonts w:asciiTheme="minorHAnsi" w:hAnsiTheme="minorHAnsi" w:cstheme="minorBidi"/>
        </w:rPr>
      </w:pPr>
      <w:r w:rsidRPr="2396B0AE">
        <w:rPr>
          <w:rFonts w:asciiTheme="minorHAnsi" w:hAnsiTheme="minorHAnsi" w:cstheme="minorBidi"/>
        </w:rPr>
        <w:fldChar w:fldCharType="begin"/>
      </w:r>
      <w:r w:rsidRPr="2396B0AE">
        <w:rPr>
          <w:rFonts w:asciiTheme="minorHAnsi" w:hAnsiTheme="minorHAnsi" w:cstheme="minorBidi"/>
        </w:rPr>
        <w:instrText xml:space="preserve"> SEQ CHAPTER \h \r 1</w:instrText>
      </w:r>
      <w:r w:rsidRPr="2396B0AE">
        <w:rPr>
          <w:rFonts w:asciiTheme="minorHAnsi" w:hAnsiTheme="minorHAnsi" w:cstheme="minorBidi"/>
        </w:rPr>
        <w:fldChar w:fldCharType="end"/>
      </w:r>
      <w:r w:rsidR="2396B0AE" w:rsidRPr="2396B0AE">
        <w:rPr>
          <w:rFonts w:asciiTheme="minorHAnsi" w:hAnsiTheme="minorHAnsi" w:cstheme="minorBidi"/>
          <w:b/>
          <w:bCs/>
        </w:rPr>
        <w:t xml:space="preserve">OLC Managing Attorney - Woodburn, OR </w:t>
      </w:r>
    </w:p>
    <w:p w14:paraId="7D0FB629" w14:textId="77777777" w:rsidR="00CC4DB7" w:rsidRPr="00902E3B" w:rsidRDefault="00CC4DB7" w:rsidP="00CC4DB7">
      <w:pPr>
        <w:widowControl w:val="0"/>
        <w:spacing w:after="100"/>
        <w:rPr>
          <w:rStyle w:val="WPHyperlink"/>
          <w:rFonts w:asciiTheme="minorHAnsi" w:hAnsiTheme="minorHAnsi" w:cstheme="minorHAnsi"/>
          <w:szCs w:val="24"/>
        </w:rPr>
      </w:pPr>
    </w:p>
    <w:p w14:paraId="2570BD6C" w14:textId="133D91CA" w:rsidR="00CC4DB7" w:rsidRPr="00902E3B" w:rsidRDefault="2396B0AE" w:rsidP="2396B0AE">
      <w:pPr>
        <w:widowControl w:val="0"/>
        <w:spacing w:after="100"/>
        <w:rPr>
          <w:rStyle w:val="WPHyperlink"/>
          <w:rFonts w:asciiTheme="minorHAnsi" w:hAnsiTheme="minorHAnsi" w:cstheme="minorBidi"/>
          <w:color w:val="auto"/>
          <w:u w:val="none"/>
        </w:rPr>
      </w:pPr>
      <w:r w:rsidRPr="2396B0AE">
        <w:rPr>
          <w:rStyle w:val="WPHyperlink"/>
          <w:rFonts w:asciiTheme="minorHAnsi" w:hAnsiTheme="minorHAnsi" w:cstheme="minorBidi"/>
          <w:b/>
          <w:bCs/>
          <w:color w:val="auto"/>
          <w:u w:val="none"/>
        </w:rPr>
        <w:t xml:space="preserve">Position: </w:t>
      </w:r>
      <w:r w:rsidRPr="2396B0AE">
        <w:rPr>
          <w:rStyle w:val="WPHyperlink"/>
          <w:rFonts w:asciiTheme="minorHAnsi" w:hAnsiTheme="minorHAnsi" w:cstheme="minorBidi"/>
          <w:color w:val="auto"/>
          <w:u w:val="none"/>
        </w:rPr>
        <w:t xml:space="preserve">Oregon Law Center (OLC) seeks a managing attorney to provide management, training, and leadership for a four-person office in Woodburn, Oregon, with a particular emphasis on litigation on behalf of low-income farmworker clients statewide. The OLC </w:t>
      </w:r>
      <w:r w:rsidR="00A54700">
        <w:rPr>
          <w:rStyle w:val="WPHyperlink"/>
          <w:rFonts w:asciiTheme="minorHAnsi" w:hAnsiTheme="minorHAnsi" w:cstheme="minorBidi"/>
          <w:color w:val="auto"/>
          <w:u w:val="none"/>
        </w:rPr>
        <w:t>F</w:t>
      </w:r>
      <w:r w:rsidRPr="2396B0AE">
        <w:rPr>
          <w:rStyle w:val="WPHyperlink"/>
          <w:rFonts w:asciiTheme="minorHAnsi" w:hAnsiTheme="minorHAnsi" w:cstheme="minorBidi"/>
          <w:color w:val="auto"/>
          <w:u w:val="none"/>
        </w:rPr>
        <w:t xml:space="preserve">armworker </w:t>
      </w:r>
      <w:r w:rsidR="00A54700">
        <w:rPr>
          <w:rStyle w:val="WPHyperlink"/>
          <w:rFonts w:asciiTheme="minorHAnsi" w:hAnsiTheme="minorHAnsi" w:cstheme="minorBidi"/>
          <w:color w:val="auto"/>
          <w:u w:val="none"/>
        </w:rPr>
        <w:t>O</w:t>
      </w:r>
      <w:r w:rsidRPr="2396B0AE">
        <w:rPr>
          <w:rStyle w:val="WPHyperlink"/>
          <w:rFonts w:asciiTheme="minorHAnsi" w:hAnsiTheme="minorHAnsi" w:cstheme="minorBidi"/>
          <w:color w:val="auto"/>
          <w:u w:val="none"/>
        </w:rPr>
        <w:t>ffice has been serving clients in Woodburn for over forty years and is intricately connected to many community partners serving farmworkers. Woodburn, with one of the highest settled out and migrant farmworker resident populations in Oregon, is a vibrant historic town situated between the state’s capital, Salem</w:t>
      </w:r>
      <w:r w:rsidR="007744CC">
        <w:rPr>
          <w:rStyle w:val="WPHyperlink"/>
          <w:rFonts w:asciiTheme="minorHAnsi" w:hAnsiTheme="minorHAnsi" w:cstheme="minorBidi"/>
          <w:color w:val="auto"/>
          <w:u w:val="none"/>
        </w:rPr>
        <w:t>,</w:t>
      </w:r>
      <w:r w:rsidRPr="2396B0AE">
        <w:rPr>
          <w:rStyle w:val="WPHyperlink"/>
          <w:rFonts w:asciiTheme="minorHAnsi" w:hAnsiTheme="minorHAnsi" w:cstheme="minorBidi"/>
          <w:color w:val="auto"/>
          <w:u w:val="none"/>
        </w:rPr>
        <w:t xml:space="preserve"> and the City of Portland. Woodburn is an easy drive to many emerald hiking trails and breathtaking waterfalls in the Willamette Valley and the Columbia Gorge Scenic Area. </w:t>
      </w:r>
    </w:p>
    <w:p w14:paraId="5ECC4784" w14:textId="344C7F0A" w:rsidR="00CC4DB7" w:rsidRPr="00902E3B" w:rsidRDefault="00CC4DB7" w:rsidP="2396B0AE">
      <w:pPr>
        <w:widowControl w:val="0"/>
        <w:spacing w:after="100"/>
        <w:rPr>
          <w:rStyle w:val="WPHyperlink"/>
          <w:rFonts w:asciiTheme="minorHAnsi" w:hAnsiTheme="minorHAnsi" w:cstheme="minorBidi"/>
          <w:color w:val="auto"/>
          <w:u w:val="none"/>
        </w:rPr>
      </w:pPr>
      <w:r>
        <w:br/>
      </w:r>
      <w:r w:rsidR="2396B0AE" w:rsidRPr="2396B0AE">
        <w:rPr>
          <w:rStyle w:val="WPHyperlink"/>
          <w:rFonts w:asciiTheme="minorHAnsi" w:hAnsiTheme="minorHAnsi" w:cstheme="minorBidi"/>
          <w:b/>
          <w:bCs/>
          <w:color w:val="auto"/>
          <w:u w:val="none"/>
        </w:rPr>
        <w:t>Background:</w:t>
      </w:r>
      <w:r w:rsidR="2396B0AE" w:rsidRPr="2396B0AE">
        <w:rPr>
          <w:rStyle w:val="WPHyperlink"/>
          <w:rFonts w:asciiTheme="minorHAnsi" w:hAnsiTheme="minorHAnsi" w:cstheme="minorBidi"/>
          <w:color w:val="auto"/>
          <w:u w:val="none"/>
        </w:rPr>
        <w:t xml:space="preserve"> OLC is a legal services program committed to achieving justice for the low-income communities of Oregon by providing a full range of the highest quality civil legal services. OLC operates eleven offices around the state. It has a litigation support unit, legislative advocacy unit, and statewide farmworker program. </w:t>
      </w:r>
      <w:r>
        <w:br/>
      </w:r>
    </w:p>
    <w:p w14:paraId="7FB67185" w14:textId="7C9A12F2" w:rsidR="003106CF" w:rsidRPr="00902E3B" w:rsidRDefault="2396B0AE" w:rsidP="40BF6448">
      <w:pPr>
        <w:spacing w:after="160"/>
        <w:rPr>
          <w:rFonts w:asciiTheme="minorHAnsi" w:eastAsiaTheme="minorEastAsia" w:hAnsiTheme="minorHAnsi" w:cstheme="minorBidi"/>
        </w:rPr>
      </w:pPr>
      <w:r w:rsidRPr="2396B0AE">
        <w:rPr>
          <w:rFonts w:asciiTheme="minorHAnsi" w:eastAsiaTheme="minorEastAsia" w:hAnsiTheme="minorHAnsi" w:cstheme="minorBidi"/>
          <w:b/>
          <w:bCs/>
        </w:rPr>
        <w:t>Program:</w:t>
      </w:r>
      <w:r w:rsidRPr="2396B0AE">
        <w:rPr>
          <w:rFonts w:asciiTheme="minorHAnsi" w:eastAsiaTheme="minorEastAsia" w:hAnsiTheme="minorHAnsi" w:cstheme="minorBidi"/>
        </w:rPr>
        <w:t xml:space="preserve"> OLC’s Woodburn Farmworker office includes the managing attorney, two staff attorneys, and one paralegal, and is part of a statewide Farmworker Program. The Farmworker Program sets priorities according to client need; current priorities include employment, occupational safety and health, housing, and civil rights. Most of our clients speak Spanish or one of the Indigenous languages native to Mexico and Central America, such as Mixteco, Triqui, Zapoteco, Mam, or Akateco. Farmworkers, and our clients, experience a wide variety of legal problems, including retaliation, unpaid wages, inadequate housing, unsafe work conditions including excessive heat, hazardous chemicals, violence, and sexual harassment. </w:t>
      </w:r>
    </w:p>
    <w:p w14:paraId="40C2C057" w14:textId="6E3A56A1" w:rsidR="00827304" w:rsidRPr="00902E3B" w:rsidRDefault="00A01AF9" w:rsidP="40BF6448">
      <w:pPr>
        <w:widowControl w:val="0"/>
        <w:spacing w:after="100"/>
        <w:rPr>
          <w:rFonts w:asciiTheme="minorHAnsi" w:hAnsiTheme="minorHAnsi" w:cstheme="minorBidi"/>
        </w:rPr>
      </w:pPr>
      <w:r>
        <w:br/>
      </w:r>
      <w:r w:rsidR="2396B0AE" w:rsidRPr="2396B0AE">
        <w:rPr>
          <w:rStyle w:val="WPHyperlink"/>
          <w:rFonts w:asciiTheme="minorHAnsi" w:hAnsiTheme="minorHAnsi" w:cstheme="minorBidi"/>
          <w:b/>
          <w:bCs/>
          <w:color w:val="auto"/>
          <w:u w:val="none"/>
        </w:rPr>
        <w:t>Responsibilities</w:t>
      </w:r>
      <w:r w:rsidR="2396B0AE" w:rsidRPr="2396B0AE">
        <w:rPr>
          <w:rFonts w:asciiTheme="minorHAnsi" w:hAnsiTheme="minorHAnsi" w:cstheme="minorBidi"/>
        </w:rPr>
        <w:t>: The managing attorney will work closely with the OLC’s Farmworker Director and another managing attorney to lead the joint effort to prevent, reduce and solve low-income farmworker clients’ high priority legal problems and work towards achieving justice with them in Oregon. The managing attorney will handle and supervise impact litigation and individual cases, with a significant emphasis on class action lawsuits and other impact cases in state and federal courts.  The managing attorney will handle all phases of litigation from intake, investigation, preparing and filing cases in state and federal court, discovery, motion practice, alternative dispute resolution, to trial and appeals. The managing attorney will engage in education and outreach to farmworker communities to help raise farmworkers’ knowledge upon which they can choose to act. The managing attorney will promote mutual respect, acceptance, and teamwork among a diverse staff, will be involved in mentoring and training, and will challenge and work with others to achieve positive results and grow professionally. This is a unique opportunity to use and build leadership and litigation skills to help improve the work and lives of farmworker communities of Oregon. Under non-pandemic circumstances, attorneys in the Farmworker Program work irregular hours, with some travel during the daytime and occasionally overnight, and some outreach to clients in the evenings.</w:t>
      </w:r>
    </w:p>
    <w:p w14:paraId="19DCC3A3" w14:textId="487094ED" w:rsidR="005C360F" w:rsidRDefault="2396B0AE" w:rsidP="2396B0AE">
      <w:pPr>
        <w:widowControl w:val="0"/>
        <w:jc w:val="center"/>
        <w:rPr>
          <w:rStyle w:val="WPHyperlink"/>
          <w:rFonts w:asciiTheme="minorHAnsi" w:hAnsiTheme="minorHAnsi" w:cstheme="minorHAnsi"/>
          <w:b/>
          <w:bCs/>
          <w:color w:val="auto"/>
          <w:szCs w:val="24"/>
          <w:u w:val="none"/>
        </w:rPr>
      </w:pPr>
      <w:r w:rsidRPr="00761545">
        <w:rPr>
          <w:rFonts w:asciiTheme="minorHAnsi" w:hAnsiTheme="minorHAnsi" w:cstheme="minorHAnsi"/>
          <w:b/>
          <w:bCs/>
          <w:szCs w:val="24"/>
        </w:rPr>
        <w:lastRenderedPageBreak/>
        <w:t>OLC is proud to be an equal opportunity employer committed to creating a healthy work environment for a diverse staff. We encourage people from diverse backgrounds and communities to apply.</w:t>
      </w:r>
    </w:p>
    <w:p w14:paraId="220E1354" w14:textId="77777777" w:rsidR="00761545" w:rsidRPr="00761545" w:rsidRDefault="00761545" w:rsidP="2396B0AE">
      <w:pPr>
        <w:widowControl w:val="0"/>
        <w:jc w:val="center"/>
        <w:rPr>
          <w:rFonts w:asciiTheme="minorHAnsi" w:hAnsiTheme="minorHAnsi" w:cstheme="minorHAnsi"/>
          <w:szCs w:val="24"/>
        </w:rPr>
      </w:pPr>
    </w:p>
    <w:p w14:paraId="5D5462D5" w14:textId="60878EDC" w:rsidR="005C360F" w:rsidRPr="00902E3B" w:rsidRDefault="2396B0AE" w:rsidP="2396B0AE">
      <w:pPr>
        <w:widowControl w:val="0"/>
        <w:rPr>
          <w:rStyle w:val="WPHyperlink"/>
          <w:rFonts w:asciiTheme="minorHAnsi" w:hAnsiTheme="minorHAnsi" w:cstheme="minorBidi"/>
          <w:color w:val="auto"/>
          <w:u w:val="none"/>
        </w:rPr>
      </w:pPr>
      <w:r w:rsidRPr="2396B0AE">
        <w:rPr>
          <w:rStyle w:val="WPHyperlink"/>
          <w:rFonts w:asciiTheme="minorHAnsi" w:hAnsiTheme="minorHAnsi" w:cstheme="minorBidi"/>
          <w:b/>
          <w:bCs/>
          <w:color w:val="auto"/>
          <w:u w:val="none"/>
        </w:rPr>
        <w:t>Requirements:</w:t>
      </w:r>
      <w:r w:rsidRPr="2396B0AE">
        <w:rPr>
          <w:rStyle w:val="WPHyperlink"/>
          <w:rFonts w:asciiTheme="minorHAnsi" w:hAnsiTheme="minorHAnsi" w:cstheme="minorBidi"/>
          <w:color w:val="auto"/>
          <w:u w:val="none"/>
        </w:rPr>
        <w:t xml:space="preserve">  </w:t>
      </w:r>
    </w:p>
    <w:p w14:paraId="0F409DA2" w14:textId="4A365316" w:rsidR="00BA56F2" w:rsidRPr="00902E3B" w:rsidRDefault="2396B0AE" w:rsidP="2396B0AE">
      <w:pPr>
        <w:pStyle w:val="ListParagraph"/>
        <w:numPr>
          <w:ilvl w:val="0"/>
          <w:numId w:val="1"/>
        </w:numPr>
        <w:rPr>
          <w:rStyle w:val="WPHyperlink"/>
          <w:rFonts w:asciiTheme="minorHAnsi" w:eastAsiaTheme="minorEastAsia" w:hAnsiTheme="minorHAnsi" w:cstheme="minorBidi"/>
          <w:color w:val="auto"/>
          <w:szCs w:val="24"/>
          <w:u w:val="none"/>
        </w:rPr>
      </w:pPr>
      <w:r w:rsidRPr="2396B0AE">
        <w:rPr>
          <w:rStyle w:val="WPHyperlink"/>
          <w:rFonts w:asciiTheme="minorHAnsi" w:hAnsiTheme="minorHAnsi" w:cstheme="minorBidi"/>
          <w:color w:val="auto"/>
          <w:u w:val="none"/>
        </w:rPr>
        <w:t>Demonstrated commitment to serving low-income communities through litigation and other advocacy.</w:t>
      </w:r>
    </w:p>
    <w:p w14:paraId="5F2485F9" w14:textId="77272EB8" w:rsidR="00331027" w:rsidRPr="00902E3B" w:rsidRDefault="2396B0AE" w:rsidP="2396B0AE">
      <w:pPr>
        <w:pStyle w:val="ListParagraph"/>
        <w:numPr>
          <w:ilvl w:val="0"/>
          <w:numId w:val="1"/>
        </w:numPr>
        <w:rPr>
          <w:rStyle w:val="WPHyperlink"/>
          <w:rFonts w:asciiTheme="minorHAnsi" w:eastAsiaTheme="minorEastAsia" w:hAnsiTheme="minorHAnsi" w:cstheme="minorBidi"/>
          <w:color w:val="auto"/>
          <w:szCs w:val="24"/>
          <w:u w:val="none"/>
        </w:rPr>
      </w:pPr>
      <w:r w:rsidRPr="2396B0AE">
        <w:rPr>
          <w:rStyle w:val="WPHyperlink"/>
          <w:rFonts w:asciiTheme="minorHAnsi" w:hAnsiTheme="minorHAnsi" w:cstheme="minorBidi"/>
          <w:color w:val="auto"/>
          <w:u w:val="none"/>
        </w:rPr>
        <w:t xml:space="preserve">Experienced in handling complex and impact litigation and a strong desire to build on gaining skills through active litigation in state and federal courts. </w:t>
      </w:r>
    </w:p>
    <w:p w14:paraId="528D895E" w14:textId="17A5400B" w:rsidR="005C360F" w:rsidRPr="00902E3B" w:rsidRDefault="2396B0AE" w:rsidP="2396B0AE">
      <w:pPr>
        <w:pStyle w:val="ListParagraph"/>
        <w:widowControl w:val="0"/>
        <w:numPr>
          <w:ilvl w:val="0"/>
          <w:numId w:val="1"/>
        </w:numPr>
        <w:rPr>
          <w:rFonts w:asciiTheme="minorHAnsi" w:eastAsiaTheme="minorEastAsia" w:hAnsiTheme="minorHAnsi" w:cstheme="minorBidi"/>
          <w:szCs w:val="24"/>
        </w:rPr>
      </w:pPr>
      <w:r w:rsidRPr="2396B0AE">
        <w:rPr>
          <w:rFonts w:asciiTheme="minorHAnsi" w:hAnsiTheme="minorHAnsi" w:cstheme="minorBidi"/>
        </w:rPr>
        <w:t>Demonstrated ability to mentor individuals and diverse teams and help foster effective team interactions and collaboration.</w:t>
      </w:r>
    </w:p>
    <w:p w14:paraId="1ADBB49E" w14:textId="6C8A9888" w:rsidR="005C360F" w:rsidRPr="00902E3B" w:rsidRDefault="2396B0AE" w:rsidP="2396B0AE">
      <w:pPr>
        <w:pStyle w:val="ListParagraph"/>
        <w:widowControl w:val="0"/>
        <w:numPr>
          <w:ilvl w:val="0"/>
          <w:numId w:val="1"/>
        </w:numPr>
        <w:rPr>
          <w:rStyle w:val="WPHyperlink"/>
          <w:rFonts w:asciiTheme="minorHAnsi" w:eastAsiaTheme="minorEastAsia" w:hAnsiTheme="minorHAnsi" w:cstheme="minorBidi"/>
          <w:color w:val="auto"/>
          <w:szCs w:val="24"/>
          <w:u w:val="none"/>
        </w:rPr>
      </w:pPr>
      <w:r w:rsidRPr="2396B0AE">
        <w:rPr>
          <w:rStyle w:val="WPHyperlink"/>
          <w:rFonts w:asciiTheme="minorHAnsi" w:hAnsiTheme="minorHAnsi" w:cstheme="minorBidi"/>
          <w:color w:val="auto"/>
          <w:u w:val="none"/>
        </w:rPr>
        <w:t>Strong interpersonal communication skills and a sense of humor.</w:t>
      </w:r>
    </w:p>
    <w:p w14:paraId="2CF1807D" w14:textId="6AD7730F" w:rsidR="0004307C" w:rsidRPr="00902E3B" w:rsidRDefault="2396B0AE" w:rsidP="2396B0AE">
      <w:pPr>
        <w:pStyle w:val="ListParagraph"/>
        <w:widowControl w:val="0"/>
        <w:numPr>
          <w:ilvl w:val="0"/>
          <w:numId w:val="1"/>
        </w:numPr>
        <w:rPr>
          <w:rFonts w:ascii="Calibri" w:eastAsia="Calibri" w:hAnsi="Calibri" w:cs="Calibri"/>
          <w:szCs w:val="24"/>
        </w:rPr>
      </w:pPr>
      <w:r w:rsidRPr="2396B0AE">
        <w:rPr>
          <w:rFonts w:ascii="Calibri" w:eastAsia="Calibri" w:hAnsi="Calibri" w:cs="Calibri"/>
          <w:szCs w:val="24"/>
        </w:rPr>
        <w:t>Excellent oral and written communication skills and attention to detail.</w:t>
      </w:r>
    </w:p>
    <w:p w14:paraId="0454A2AE" w14:textId="183A034A" w:rsidR="0004307C" w:rsidRPr="00902E3B" w:rsidRDefault="2396B0AE" w:rsidP="2396B0AE">
      <w:pPr>
        <w:pStyle w:val="ListParagraph"/>
        <w:numPr>
          <w:ilvl w:val="0"/>
          <w:numId w:val="1"/>
        </w:numPr>
        <w:rPr>
          <w:rFonts w:ascii="Calibri" w:eastAsia="Calibri" w:hAnsi="Calibri" w:cs="Calibri"/>
          <w:szCs w:val="24"/>
        </w:rPr>
      </w:pPr>
      <w:r w:rsidRPr="2396B0AE">
        <w:rPr>
          <w:rFonts w:ascii="Calibri" w:eastAsia="Calibri" w:hAnsi="Calibri" w:cs="Calibri"/>
          <w:szCs w:val="24"/>
        </w:rPr>
        <w:t>Strong analytical, organizational, and problem-solving skills, and a high degree of initiative and resilience.</w:t>
      </w:r>
    </w:p>
    <w:p w14:paraId="54BC16CC" w14:textId="3F6116FC" w:rsidR="0004307C" w:rsidRDefault="2396B0AE" w:rsidP="2396B0AE">
      <w:pPr>
        <w:pStyle w:val="ListParagraph"/>
        <w:numPr>
          <w:ilvl w:val="0"/>
          <w:numId w:val="1"/>
        </w:numPr>
        <w:rPr>
          <w:rFonts w:ascii="Calibri" w:eastAsia="Calibri" w:hAnsi="Calibri" w:cs="Calibri"/>
          <w:szCs w:val="24"/>
        </w:rPr>
      </w:pPr>
      <w:r w:rsidRPr="2396B0AE">
        <w:rPr>
          <w:rFonts w:ascii="Calibri" w:eastAsia="Calibri" w:hAnsi="Calibri" w:cs="Calibri"/>
          <w:szCs w:val="24"/>
        </w:rPr>
        <w:t>Proficient use of Microsoft Office Suite (MS Word, Excel, PowerPoint, Outlook), Adobe, and web-based video conferencing and learning platforms (e.g.,</w:t>
      </w:r>
      <w:r w:rsidRPr="001D3A6A">
        <w:rPr>
          <w:rFonts w:ascii="Calibri" w:eastAsia="Calibri" w:hAnsi="Calibri" w:cs="Calibri"/>
          <w:szCs w:val="24"/>
        </w:rPr>
        <w:t xml:space="preserve"> Zoom, Microsoft Teams).</w:t>
      </w:r>
    </w:p>
    <w:p w14:paraId="2880A77B" w14:textId="58CFEFF7" w:rsidR="0004307C" w:rsidRPr="005E1359" w:rsidRDefault="2396B0AE" w:rsidP="005E1359">
      <w:pPr>
        <w:pStyle w:val="ListParagraph"/>
        <w:numPr>
          <w:ilvl w:val="0"/>
          <w:numId w:val="1"/>
        </w:numPr>
        <w:rPr>
          <w:rFonts w:ascii="Calibri" w:eastAsia="Calibri" w:hAnsi="Calibri" w:cs="Calibri"/>
          <w:szCs w:val="24"/>
        </w:rPr>
      </w:pPr>
      <w:r w:rsidRPr="005E1359">
        <w:rPr>
          <w:rFonts w:asciiTheme="minorHAnsi" w:hAnsiTheme="minorHAnsi" w:cstheme="minorBidi"/>
        </w:rPr>
        <w:t>Admission to Oregon Bar or willingness to take next exam.</w:t>
      </w:r>
    </w:p>
    <w:p w14:paraId="6AA5E0A3" w14:textId="77777777" w:rsidR="00F769D2" w:rsidRPr="00902E3B" w:rsidRDefault="00F769D2" w:rsidP="00F769D2">
      <w:pPr>
        <w:rPr>
          <w:rStyle w:val="WPHyperlink"/>
          <w:rFonts w:asciiTheme="minorHAnsi" w:hAnsiTheme="minorHAnsi" w:cstheme="minorHAnsi"/>
          <w:color w:val="auto"/>
          <w:szCs w:val="24"/>
          <w:u w:val="none"/>
        </w:rPr>
      </w:pPr>
    </w:p>
    <w:p w14:paraId="78A7CDF0" w14:textId="77777777" w:rsidR="005C360F" w:rsidRPr="00902E3B" w:rsidRDefault="00F769D2" w:rsidP="00F769D2">
      <w:pPr>
        <w:rPr>
          <w:rFonts w:asciiTheme="minorHAnsi" w:hAnsiTheme="minorHAnsi" w:cstheme="minorHAnsi"/>
          <w:b/>
          <w:szCs w:val="24"/>
        </w:rPr>
      </w:pPr>
      <w:r w:rsidRPr="00902E3B">
        <w:rPr>
          <w:rFonts w:asciiTheme="minorHAnsi" w:hAnsiTheme="minorHAnsi" w:cstheme="minorHAnsi"/>
          <w:b/>
          <w:szCs w:val="24"/>
        </w:rPr>
        <w:t>Preferences:</w:t>
      </w:r>
    </w:p>
    <w:p w14:paraId="589472A3" w14:textId="7F68FE71" w:rsidR="00A56668" w:rsidRPr="00902E3B" w:rsidRDefault="2396B0AE" w:rsidP="2396B0AE">
      <w:pPr>
        <w:pStyle w:val="ListParagraph"/>
        <w:numPr>
          <w:ilvl w:val="0"/>
          <w:numId w:val="3"/>
        </w:numPr>
        <w:rPr>
          <w:rFonts w:asciiTheme="minorHAnsi" w:eastAsiaTheme="minorEastAsia" w:hAnsiTheme="minorHAnsi" w:cstheme="minorBidi"/>
          <w:szCs w:val="24"/>
        </w:rPr>
      </w:pPr>
      <w:r w:rsidRPr="2396B0AE">
        <w:rPr>
          <w:rFonts w:asciiTheme="minorHAnsi" w:hAnsiTheme="minorHAnsi" w:cstheme="minorBidi"/>
        </w:rPr>
        <w:t>Experience representing low-income clients through complex or impact litigation and advocacy, especially clients from non-English-speaking communities.</w:t>
      </w:r>
    </w:p>
    <w:p w14:paraId="51FEBA32" w14:textId="77777777" w:rsidR="00A56668" w:rsidRPr="00902E3B" w:rsidRDefault="2396B0AE" w:rsidP="2396B0AE">
      <w:pPr>
        <w:pStyle w:val="ListParagraph"/>
        <w:numPr>
          <w:ilvl w:val="0"/>
          <w:numId w:val="3"/>
        </w:numPr>
        <w:rPr>
          <w:rFonts w:asciiTheme="minorHAnsi" w:eastAsiaTheme="minorEastAsia" w:hAnsiTheme="minorHAnsi" w:cstheme="minorBidi"/>
          <w:szCs w:val="24"/>
        </w:rPr>
      </w:pPr>
      <w:r w:rsidRPr="2396B0AE">
        <w:rPr>
          <w:rFonts w:asciiTheme="minorHAnsi" w:hAnsiTheme="minorHAnsi" w:cstheme="minorBidi"/>
        </w:rPr>
        <w:t>Fluency in spoken and written Spanish.</w:t>
      </w:r>
    </w:p>
    <w:p w14:paraId="3439E7FB" w14:textId="3DE848F6" w:rsidR="005C360F" w:rsidRPr="00902E3B" w:rsidRDefault="00F769D2" w:rsidP="2396B0AE">
      <w:pPr>
        <w:pStyle w:val="ListParagraph"/>
        <w:numPr>
          <w:ilvl w:val="0"/>
          <w:numId w:val="3"/>
        </w:numPr>
        <w:rPr>
          <w:rFonts w:asciiTheme="minorHAnsi" w:eastAsiaTheme="minorEastAsia" w:hAnsiTheme="minorHAnsi" w:cstheme="minorBidi"/>
          <w:szCs w:val="24"/>
        </w:rPr>
      </w:pPr>
      <w:r w:rsidRPr="2396B0AE">
        <w:rPr>
          <w:rFonts w:asciiTheme="minorHAnsi" w:hAnsiTheme="minorHAnsi" w:cstheme="minorBidi"/>
        </w:rPr>
        <w:t>Leadership and supervision training and/or experience.</w:t>
      </w:r>
      <w:r w:rsidRPr="2396B0AE">
        <w:rPr>
          <w:rFonts w:asciiTheme="minorHAnsi" w:hAnsiTheme="minorHAnsi" w:cstheme="minorBidi"/>
          <w:b/>
          <w:bCs/>
        </w:rPr>
        <w:t xml:space="preserve"> </w:t>
      </w:r>
    </w:p>
    <w:p w14:paraId="6047BFC8" w14:textId="04FB8878" w:rsidR="00F769D2" w:rsidRPr="00902E3B" w:rsidRDefault="00F769D2" w:rsidP="00D8278B">
      <w:pPr>
        <w:rPr>
          <w:szCs w:val="24"/>
        </w:rPr>
      </w:pPr>
    </w:p>
    <w:p w14:paraId="0985FC7C" w14:textId="5567B16C" w:rsidR="00F769D2" w:rsidRPr="00902E3B" w:rsidRDefault="2396B0AE" w:rsidP="00F769D2">
      <w:r w:rsidRPr="2396B0AE">
        <w:rPr>
          <w:rFonts w:ascii="Calibri" w:eastAsia="Calibri" w:hAnsi="Calibri" w:cs="Calibri"/>
          <w:b/>
          <w:bCs/>
          <w:szCs w:val="24"/>
        </w:rPr>
        <w:t>Salary/Benefits:</w:t>
      </w:r>
      <w:r w:rsidRPr="2396B0AE">
        <w:rPr>
          <w:rFonts w:ascii="Calibri" w:eastAsia="Calibri" w:hAnsi="Calibri" w:cs="Calibri"/>
          <w:szCs w:val="24"/>
        </w:rPr>
        <w:t xml:space="preserve">  The salary scale ranges from $70,500 to $107,250 and placement on the scale is determined by years of relevant experience</w:t>
      </w:r>
      <w:r w:rsidR="00761545">
        <w:rPr>
          <w:rFonts w:ascii="Calibri" w:eastAsia="Calibri" w:hAnsi="Calibri" w:cs="Calibri"/>
          <w:szCs w:val="24"/>
        </w:rPr>
        <w:t xml:space="preserve"> as an attorney</w:t>
      </w:r>
      <w:r w:rsidRPr="2396B0AE">
        <w:rPr>
          <w:rFonts w:ascii="Calibri" w:eastAsia="Calibri" w:hAnsi="Calibri" w:cs="Calibri"/>
          <w:szCs w:val="24"/>
        </w:rPr>
        <w:t>. Additional compensation for bilingual ability. Competitive benefits package includes individual and family health, vision and dental insurance coverage, employer retirement contribution, generous paid holidays, vacation, and sick leave, and paid moving expenses, among others.</w:t>
      </w:r>
    </w:p>
    <w:p w14:paraId="1361D99D" w14:textId="139E368A" w:rsidR="00F769D2" w:rsidRPr="00902E3B" w:rsidRDefault="00F769D2" w:rsidP="2396B0AE">
      <w:pPr>
        <w:rPr>
          <w:b/>
          <w:bCs/>
          <w:szCs w:val="24"/>
        </w:rPr>
      </w:pPr>
    </w:p>
    <w:p w14:paraId="2BE62026" w14:textId="26CA02D8" w:rsidR="00F769D2" w:rsidRPr="00902E3B" w:rsidRDefault="2396B0AE" w:rsidP="40BF6448">
      <w:pPr>
        <w:rPr>
          <w:rFonts w:asciiTheme="minorHAnsi" w:hAnsiTheme="minorHAnsi" w:cstheme="minorBidi"/>
        </w:rPr>
      </w:pPr>
      <w:r w:rsidRPr="2396B0AE">
        <w:rPr>
          <w:rFonts w:asciiTheme="minorHAnsi" w:hAnsiTheme="minorHAnsi" w:cstheme="minorBidi"/>
          <w:b/>
          <w:bCs/>
        </w:rPr>
        <w:t>How To Apply:</w:t>
      </w:r>
      <w:r w:rsidRPr="2396B0AE">
        <w:rPr>
          <w:rFonts w:asciiTheme="minorHAnsi" w:hAnsiTheme="minorHAnsi" w:cstheme="minorBidi"/>
        </w:rPr>
        <w:t xml:space="preserve">  Send resume, cover letter, and list of three references to Nargess Shadbeh, Director of Farmworker Program, nshadbeh@oregonlawcenter.org. Open until filled. </w:t>
      </w:r>
    </w:p>
    <w:p w14:paraId="342F6252" w14:textId="06720517" w:rsidR="2396B0AE" w:rsidRDefault="2396B0AE" w:rsidP="2396B0AE">
      <w:pPr>
        <w:jc w:val="center"/>
        <w:rPr>
          <w:rFonts w:ascii="Arial" w:hAnsi="Arial" w:cs="Arial"/>
          <w:b/>
          <w:bCs/>
          <w:sz w:val="22"/>
          <w:szCs w:val="22"/>
        </w:rPr>
      </w:pPr>
    </w:p>
    <w:p w14:paraId="786A8B87" w14:textId="4D1B5D3F" w:rsidR="2396B0AE" w:rsidRDefault="2396B0AE" w:rsidP="2396B0AE">
      <w:pPr>
        <w:rPr>
          <w:rFonts w:asciiTheme="minorHAnsi" w:eastAsiaTheme="minorEastAsia" w:hAnsiTheme="minorHAnsi" w:cstheme="minorBidi"/>
          <w:b/>
          <w:bCs/>
          <w:i/>
          <w:iCs/>
          <w:szCs w:val="24"/>
        </w:rPr>
      </w:pPr>
      <w:r w:rsidRPr="00761545">
        <w:rPr>
          <w:rFonts w:asciiTheme="minorHAnsi" w:eastAsiaTheme="minorEastAsia" w:hAnsiTheme="minorHAnsi" w:cstheme="minorBidi"/>
          <w:b/>
          <w:bCs/>
          <w:i/>
          <w:iCs/>
          <w:szCs w:val="24"/>
        </w:rPr>
        <w:t>As part of your cover letter,</w:t>
      </w:r>
      <w:r w:rsidRPr="00761545">
        <w:rPr>
          <w:rFonts w:asciiTheme="minorHAnsi" w:eastAsiaTheme="minorEastAsia" w:hAnsiTheme="minorHAnsi" w:cstheme="minorBidi"/>
          <w:szCs w:val="24"/>
        </w:rPr>
        <w:t xml:space="preserve"> </w:t>
      </w:r>
      <w:r w:rsidRPr="00761545">
        <w:rPr>
          <w:rFonts w:asciiTheme="minorHAnsi" w:eastAsiaTheme="minorEastAsia" w:hAnsiTheme="minorHAnsi" w:cstheme="minorBidi"/>
          <w:b/>
          <w:bCs/>
          <w:i/>
          <w:iCs/>
          <w:szCs w:val="24"/>
        </w:rPr>
        <w:t>please</w:t>
      </w:r>
      <w:r w:rsidRPr="00761545">
        <w:rPr>
          <w:rFonts w:asciiTheme="minorHAnsi" w:eastAsiaTheme="minorEastAsia" w:hAnsiTheme="minorHAnsi" w:cstheme="minorBidi"/>
          <w:szCs w:val="24"/>
        </w:rPr>
        <w:t xml:space="preserve"> </w:t>
      </w:r>
      <w:r w:rsidRPr="00761545">
        <w:rPr>
          <w:rFonts w:asciiTheme="minorHAnsi" w:eastAsiaTheme="minorEastAsia" w:hAnsiTheme="minorHAnsi" w:cstheme="minorBidi"/>
          <w:b/>
          <w:bCs/>
          <w:i/>
          <w:iCs/>
          <w:szCs w:val="24"/>
        </w:rPr>
        <w:t>address the following:</w:t>
      </w:r>
    </w:p>
    <w:p w14:paraId="58A71C5A" w14:textId="57446A1A" w:rsidR="2396B0AE" w:rsidRDefault="2396B0AE" w:rsidP="2396B0AE">
      <w:pPr>
        <w:rPr>
          <w:b/>
          <w:bCs/>
          <w:i/>
          <w:iCs/>
          <w:szCs w:val="24"/>
        </w:rPr>
      </w:pPr>
    </w:p>
    <w:p w14:paraId="4161CDA7" w14:textId="2D60EBE6" w:rsidR="2396B0AE" w:rsidRDefault="2396B0AE" w:rsidP="2396B0AE">
      <w:pPr>
        <w:rPr>
          <w:rFonts w:asciiTheme="minorHAnsi" w:eastAsiaTheme="minorEastAsia" w:hAnsiTheme="minorHAnsi" w:cstheme="minorBidi"/>
          <w:szCs w:val="24"/>
        </w:rPr>
      </w:pPr>
      <w:r w:rsidRPr="00761545">
        <w:rPr>
          <w:rFonts w:asciiTheme="minorHAnsi" w:eastAsiaTheme="minorEastAsia" w:hAnsiTheme="minorHAnsi" w:cstheme="minorBidi"/>
          <w:szCs w:val="24"/>
        </w:rPr>
        <w:t>OLC is committed to achieving justice for the low-income communities of Oregon.  Our client communities include people of color, farmworkers, LGBTQ+ people, immigrants, seniors, people with lived experiences of homelessness, veterans, people with disabilities, and people from other underrepresented groups.  It is essential to our work to serve clients</w:t>
      </w:r>
      <w:r w:rsidRPr="2396B0AE">
        <w:rPr>
          <w:rFonts w:asciiTheme="minorHAnsi" w:eastAsiaTheme="minorEastAsia" w:hAnsiTheme="minorHAnsi" w:cstheme="minorBidi"/>
          <w:szCs w:val="24"/>
        </w:rPr>
        <w:t xml:space="preserve"> that we also work to create an inclusive and respectful workplace in which differences are acknowledged and valued.</w:t>
      </w:r>
    </w:p>
    <w:p w14:paraId="67654F24" w14:textId="589C3D8A" w:rsidR="2396B0AE" w:rsidRDefault="2396B0AE" w:rsidP="2396B0AE">
      <w:pPr>
        <w:rPr>
          <w:rFonts w:asciiTheme="minorHAnsi" w:eastAsiaTheme="minorEastAsia" w:hAnsiTheme="minorHAnsi" w:cstheme="minorBidi"/>
          <w:szCs w:val="24"/>
        </w:rPr>
      </w:pPr>
    </w:p>
    <w:p w14:paraId="3CE4D7B2" w14:textId="40A32D44" w:rsidR="2396B0AE" w:rsidRDefault="2396B0AE" w:rsidP="2396B0AE">
      <w:pPr>
        <w:rPr>
          <w:rFonts w:asciiTheme="minorHAnsi" w:eastAsiaTheme="minorEastAsia" w:hAnsiTheme="minorHAnsi" w:cstheme="minorBidi"/>
          <w:szCs w:val="24"/>
        </w:rPr>
      </w:pPr>
      <w:r w:rsidRPr="2396B0AE">
        <w:rPr>
          <w:rFonts w:asciiTheme="minorHAnsi" w:eastAsiaTheme="minorEastAsia" w:hAnsiTheme="minorHAnsi" w:cstheme="minorBidi"/>
          <w:szCs w:val="24"/>
        </w:rPr>
        <w:lastRenderedPageBreak/>
        <w:t>How do you think your personal background or experiences, professional or otherwise, have prepared you to: (1) serve our diverse client communities effectively, (2) work effectively with colleagues from backgrounds different than your own, (3) acknowledge the systemic barriers that our clients</w:t>
      </w:r>
      <w:r w:rsidR="00D8278B">
        <w:rPr>
          <w:rFonts w:asciiTheme="minorHAnsi" w:eastAsiaTheme="minorEastAsia" w:hAnsiTheme="minorHAnsi" w:cstheme="minorBidi"/>
          <w:szCs w:val="24"/>
        </w:rPr>
        <w:t xml:space="preserve"> and some colleagues</w:t>
      </w:r>
      <w:r w:rsidRPr="2396B0AE">
        <w:rPr>
          <w:rFonts w:asciiTheme="minorHAnsi" w:eastAsiaTheme="minorEastAsia" w:hAnsiTheme="minorHAnsi" w:cstheme="minorBidi"/>
          <w:szCs w:val="24"/>
        </w:rPr>
        <w:t xml:space="preserve"> face</w:t>
      </w:r>
      <w:r w:rsidRPr="2396B0AE">
        <w:rPr>
          <w:rFonts w:asciiTheme="minorHAnsi" w:eastAsiaTheme="minorEastAsia" w:hAnsiTheme="minorHAnsi" w:cstheme="minorBidi"/>
          <w:b/>
          <w:bCs/>
          <w:szCs w:val="24"/>
        </w:rPr>
        <w:t xml:space="preserve">, </w:t>
      </w:r>
      <w:r w:rsidRPr="2396B0AE">
        <w:rPr>
          <w:rFonts w:asciiTheme="minorHAnsi" w:eastAsiaTheme="minorEastAsia" w:hAnsiTheme="minorHAnsi" w:cstheme="minorBidi"/>
          <w:szCs w:val="24"/>
        </w:rPr>
        <w:t>and (4) contribute to our efforts to achieve racial justice? Feel free to provide examples, and apply various aspects of your life and personal experiences, as you respond to this question.</w:t>
      </w:r>
    </w:p>
    <w:p w14:paraId="453A93ED" w14:textId="3C58739A" w:rsidR="2396B0AE" w:rsidRDefault="2396B0AE" w:rsidP="2396B0AE">
      <w:pPr>
        <w:jc w:val="center"/>
        <w:rPr>
          <w:b/>
          <w:bCs/>
          <w:szCs w:val="24"/>
        </w:rPr>
      </w:pPr>
      <w:r w:rsidRPr="2396B0AE">
        <w:rPr>
          <w:b/>
          <w:bCs/>
          <w:szCs w:val="24"/>
        </w:rPr>
        <w:t xml:space="preserve"> </w:t>
      </w:r>
    </w:p>
    <w:p w14:paraId="22D6A7DC" w14:textId="426B5492" w:rsidR="2396B0AE" w:rsidRDefault="2396B0AE" w:rsidP="2396B0AE">
      <w:pPr>
        <w:rPr>
          <w:szCs w:val="24"/>
        </w:rPr>
      </w:pPr>
    </w:p>
    <w:p w14:paraId="724A640B" w14:textId="3E408E68" w:rsidR="2396B0AE" w:rsidRDefault="2396B0AE" w:rsidP="2396B0AE">
      <w:pPr>
        <w:rPr>
          <w:b/>
          <w:bCs/>
          <w:szCs w:val="24"/>
        </w:rPr>
      </w:pPr>
    </w:p>
    <w:sectPr w:rsidR="2396B0AE" w:rsidSect="005C360F">
      <w:pgSz w:w="12240" w:h="15840"/>
      <w:pgMar w:top="144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textHash int2:hashCode="0fROjYH6xvBiip" int2:id="WFCJ2VvI">
      <int2:state int2:type="LegacyProofing" int2:value="Rejected"/>
    </int2:textHash>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C26"/>
    <w:multiLevelType w:val="hybridMultilevel"/>
    <w:tmpl w:val="6172F1D6"/>
    <w:lvl w:ilvl="0" w:tplc="678865DC">
      <w:start w:val="1"/>
      <w:numFmt w:val="bullet"/>
      <w:lvlText w:val=""/>
      <w:lvlJc w:val="left"/>
      <w:pPr>
        <w:ind w:left="720" w:hanging="360"/>
      </w:pPr>
      <w:rPr>
        <w:rFonts w:ascii="Symbol" w:hAnsi="Symbol" w:hint="default"/>
      </w:rPr>
    </w:lvl>
    <w:lvl w:ilvl="1" w:tplc="45D437AC">
      <w:start w:val="1"/>
      <w:numFmt w:val="bullet"/>
      <w:lvlText w:val="o"/>
      <w:lvlJc w:val="left"/>
      <w:pPr>
        <w:ind w:left="1440" w:hanging="360"/>
      </w:pPr>
      <w:rPr>
        <w:rFonts w:ascii="Courier New" w:hAnsi="Courier New" w:hint="default"/>
      </w:rPr>
    </w:lvl>
    <w:lvl w:ilvl="2" w:tplc="285A6834">
      <w:start w:val="1"/>
      <w:numFmt w:val="bullet"/>
      <w:lvlText w:val=""/>
      <w:lvlJc w:val="left"/>
      <w:pPr>
        <w:ind w:left="2160" w:hanging="360"/>
      </w:pPr>
      <w:rPr>
        <w:rFonts w:ascii="Wingdings" w:hAnsi="Wingdings" w:hint="default"/>
      </w:rPr>
    </w:lvl>
    <w:lvl w:ilvl="3" w:tplc="19D2EE54">
      <w:start w:val="1"/>
      <w:numFmt w:val="bullet"/>
      <w:lvlText w:val=""/>
      <w:lvlJc w:val="left"/>
      <w:pPr>
        <w:ind w:left="2880" w:hanging="360"/>
      </w:pPr>
      <w:rPr>
        <w:rFonts w:ascii="Symbol" w:hAnsi="Symbol" w:hint="default"/>
      </w:rPr>
    </w:lvl>
    <w:lvl w:ilvl="4" w:tplc="AC0CD848">
      <w:start w:val="1"/>
      <w:numFmt w:val="bullet"/>
      <w:lvlText w:val="o"/>
      <w:lvlJc w:val="left"/>
      <w:pPr>
        <w:ind w:left="3600" w:hanging="360"/>
      </w:pPr>
      <w:rPr>
        <w:rFonts w:ascii="Courier New" w:hAnsi="Courier New" w:hint="default"/>
      </w:rPr>
    </w:lvl>
    <w:lvl w:ilvl="5" w:tplc="BE26292A">
      <w:start w:val="1"/>
      <w:numFmt w:val="bullet"/>
      <w:lvlText w:val=""/>
      <w:lvlJc w:val="left"/>
      <w:pPr>
        <w:ind w:left="4320" w:hanging="360"/>
      </w:pPr>
      <w:rPr>
        <w:rFonts w:ascii="Wingdings" w:hAnsi="Wingdings" w:hint="default"/>
      </w:rPr>
    </w:lvl>
    <w:lvl w:ilvl="6" w:tplc="9852F65E">
      <w:start w:val="1"/>
      <w:numFmt w:val="bullet"/>
      <w:lvlText w:val=""/>
      <w:lvlJc w:val="left"/>
      <w:pPr>
        <w:ind w:left="5040" w:hanging="360"/>
      </w:pPr>
      <w:rPr>
        <w:rFonts w:ascii="Symbol" w:hAnsi="Symbol" w:hint="default"/>
      </w:rPr>
    </w:lvl>
    <w:lvl w:ilvl="7" w:tplc="FE0A7DA4">
      <w:start w:val="1"/>
      <w:numFmt w:val="bullet"/>
      <w:lvlText w:val="o"/>
      <w:lvlJc w:val="left"/>
      <w:pPr>
        <w:ind w:left="5760" w:hanging="360"/>
      </w:pPr>
      <w:rPr>
        <w:rFonts w:ascii="Courier New" w:hAnsi="Courier New" w:hint="default"/>
      </w:rPr>
    </w:lvl>
    <w:lvl w:ilvl="8" w:tplc="6D6C4690">
      <w:start w:val="1"/>
      <w:numFmt w:val="bullet"/>
      <w:lvlText w:val=""/>
      <w:lvlJc w:val="left"/>
      <w:pPr>
        <w:ind w:left="6480" w:hanging="360"/>
      </w:pPr>
      <w:rPr>
        <w:rFonts w:ascii="Wingdings" w:hAnsi="Wingdings" w:hint="default"/>
      </w:rPr>
    </w:lvl>
  </w:abstractNum>
  <w:abstractNum w:abstractNumId="1" w15:restartNumberingAfterBreak="0">
    <w:nsid w:val="4B5B2E96"/>
    <w:multiLevelType w:val="hybridMultilevel"/>
    <w:tmpl w:val="B3BA60B4"/>
    <w:lvl w:ilvl="0" w:tplc="629EC296">
      <w:start w:val="1"/>
      <w:numFmt w:val="bullet"/>
      <w:lvlText w:val="·"/>
      <w:lvlJc w:val="left"/>
      <w:pPr>
        <w:ind w:left="720" w:hanging="360"/>
      </w:pPr>
      <w:rPr>
        <w:rFonts w:ascii="Symbol" w:hAnsi="Symbol" w:hint="default"/>
      </w:rPr>
    </w:lvl>
    <w:lvl w:ilvl="1" w:tplc="AE6C11EA">
      <w:start w:val="1"/>
      <w:numFmt w:val="bullet"/>
      <w:lvlText w:val="o"/>
      <w:lvlJc w:val="left"/>
      <w:pPr>
        <w:ind w:left="1440" w:hanging="360"/>
      </w:pPr>
      <w:rPr>
        <w:rFonts w:ascii="Courier New" w:hAnsi="Courier New" w:hint="default"/>
      </w:rPr>
    </w:lvl>
    <w:lvl w:ilvl="2" w:tplc="9A7E6746">
      <w:start w:val="1"/>
      <w:numFmt w:val="bullet"/>
      <w:lvlText w:val=""/>
      <w:lvlJc w:val="left"/>
      <w:pPr>
        <w:ind w:left="2160" w:hanging="360"/>
      </w:pPr>
      <w:rPr>
        <w:rFonts w:ascii="Wingdings" w:hAnsi="Wingdings" w:hint="default"/>
      </w:rPr>
    </w:lvl>
    <w:lvl w:ilvl="3" w:tplc="40CE9D42">
      <w:start w:val="1"/>
      <w:numFmt w:val="bullet"/>
      <w:lvlText w:val=""/>
      <w:lvlJc w:val="left"/>
      <w:pPr>
        <w:ind w:left="2880" w:hanging="360"/>
      </w:pPr>
      <w:rPr>
        <w:rFonts w:ascii="Symbol" w:hAnsi="Symbol" w:hint="default"/>
      </w:rPr>
    </w:lvl>
    <w:lvl w:ilvl="4" w:tplc="998E885C">
      <w:start w:val="1"/>
      <w:numFmt w:val="bullet"/>
      <w:lvlText w:val="o"/>
      <w:lvlJc w:val="left"/>
      <w:pPr>
        <w:ind w:left="3600" w:hanging="360"/>
      </w:pPr>
      <w:rPr>
        <w:rFonts w:ascii="Courier New" w:hAnsi="Courier New" w:hint="default"/>
      </w:rPr>
    </w:lvl>
    <w:lvl w:ilvl="5" w:tplc="DA58E1FA">
      <w:start w:val="1"/>
      <w:numFmt w:val="bullet"/>
      <w:lvlText w:val=""/>
      <w:lvlJc w:val="left"/>
      <w:pPr>
        <w:ind w:left="4320" w:hanging="360"/>
      </w:pPr>
      <w:rPr>
        <w:rFonts w:ascii="Wingdings" w:hAnsi="Wingdings" w:hint="default"/>
      </w:rPr>
    </w:lvl>
    <w:lvl w:ilvl="6" w:tplc="B66864CA">
      <w:start w:val="1"/>
      <w:numFmt w:val="bullet"/>
      <w:lvlText w:val=""/>
      <w:lvlJc w:val="left"/>
      <w:pPr>
        <w:ind w:left="5040" w:hanging="360"/>
      </w:pPr>
      <w:rPr>
        <w:rFonts w:ascii="Symbol" w:hAnsi="Symbol" w:hint="default"/>
      </w:rPr>
    </w:lvl>
    <w:lvl w:ilvl="7" w:tplc="1102EBB4">
      <w:start w:val="1"/>
      <w:numFmt w:val="bullet"/>
      <w:lvlText w:val="o"/>
      <w:lvlJc w:val="left"/>
      <w:pPr>
        <w:ind w:left="5760" w:hanging="360"/>
      </w:pPr>
      <w:rPr>
        <w:rFonts w:ascii="Courier New" w:hAnsi="Courier New" w:hint="default"/>
      </w:rPr>
    </w:lvl>
    <w:lvl w:ilvl="8" w:tplc="D8C2403C">
      <w:start w:val="1"/>
      <w:numFmt w:val="bullet"/>
      <w:lvlText w:val=""/>
      <w:lvlJc w:val="left"/>
      <w:pPr>
        <w:ind w:left="6480" w:hanging="360"/>
      </w:pPr>
      <w:rPr>
        <w:rFonts w:ascii="Wingdings" w:hAnsi="Wingdings" w:hint="default"/>
      </w:rPr>
    </w:lvl>
  </w:abstractNum>
  <w:abstractNum w:abstractNumId="2" w15:restartNumberingAfterBreak="0">
    <w:nsid w:val="58D0637A"/>
    <w:multiLevelType w:val="hybridMultilevel"/>
    <w:tmpl w:val="F71EE520"/>
    <w:lvl w:ilvl="0" w:tplc="B2FAA22C">
      <w:start w:val="1"/>
      <w:numFmt w:val="bullet"/>
      <w:lvlText w:val=""/>
      <w:lvlJc w:val="left"/>
      <w:pPr>
        <w:ind w:left="720" w:hanging="360"/>
      </w:pPr>
      <w:rPr>
        <w:rFonts w:ascii="Symbol" w:hAnsi="Symbol" w:hint="default"/>
      </w:rPr>
    </w:lvl>
    <w:lvl w:ilvl="1" w:tplc="19B8F2A2">
      <w:start w:val="1"/>
      <w:numFmt w:val="bullet"/>
      <w:lvlText w:val="o"/>
      <w:lvlJc w:val="left"/>
      <w:pPr>
        <w:ind w:left="1440" w:hanging="360"/>
      </w:pPr>
      <w:rPr>
        <w:rFonts w:ascii="Courier New" w:hAnsi="Courier New" w:hint="default"/>
      </w:rPr>
    </w:lvl>
    <w:lvl w:ilvl="2" w:tplc="C0C00172">
      <w:start w:val="1"/>
      <w:numFmt w:val="bullet"/>
      <w:lvlText w:val=""/>
      <w:lvlJc w:val="left"/>
      <w:pPr>
        <w:ind w:left="2160" w:hanging="360"/>
      </w:pPr>
      <w:rPr>
        <w:rFonts w:ascii="Wingdings" w:hAnsi="Wingdings" w:hint="default"/>
      </w:rPr>
    </w:lvl>
    <w:lvl w:ilvl="3" w:tplc="E85821F6">
      <w:start w:val="1"/>
      <w:numFmt w:val="bullet"/>
      <w:lvlText w:val=""/>
      <w:lvlJc w:val="left"/>
      <w:pPr>
        <w:ind w:left="2880" w:hanging="360"/>
      </w:pPr>
      <w:rPr>
        <w:rFonts w:ascii="Symbol" w:hAnsi="Symbol" w:hint="default"/>
      </w:rPr>
    </w:lvl>
    <w:lvl w:ilvl="4" w:tplc="49EEC1B2">
      <w:start w:val="1"/>
      <w:numFmt w:val="bullet"/>
      <w:lvlText w:val="o"/>
      <w:lvlJc w:val="left"/>
      <w:pPr>
        <w:ind w:left="3600" w:hanging="360"/>
      </w:pPr>
      <w:rPr>
        <w:rFonts w:ascii="Courier New" w:hAnsi="Courier New" w:hint="default"/>
      </w:rPr>
    </w:lvl>
    <w:lvl w:ilvl="5" w:tplc="66ECDBB6">
      <w:start w:val="1"/>
      <w:numFmt w:val="bullet"/>
      <w:lvlText w:val=""/>
      <w:lvlJc w:val="left"/>
      <w:pPr>
        <w:ind w:left="4320" w:hanging="360"/>
      </w:pPr>
      <w:rPr>
        <w:rFonts w:ascii="Wingdings" w:hAnsi="Wingdings" w:hint="default"/>
      </w:rPr>
    </w:lvl>
    <w:lvl w:ilvl="6" w:tplc="7FBA6DE2">
      <w:start w:val="1"/>
      <w:numFmt w:val="bullet"/>
      <w:lvlText w:val=""/>
      <w:lvlJc w:val="left"/>
      <w:pPr>
        <w:ind w:left="5040" w:hanging="360"/>
      </w:pPr>
      <w:rPr>
        <w:rFonts w:ascii="Symbol" w:hAnsi="Symbol" w:hint="default"/>
      </w:rPr>
    </w:lvl>
    <w:lvl w:ilvl="7" w:tplc="DEE8FF8C">
      <w:start w:val="1"/>
      <w:numFmt w:val="bullet"/>
      <w:lvlText w:val="o"/>
      <w:lvlJc w:val="left"/>
      <w:pPr>
        <w:ind w:left="5760" w:hanging="360"/>
      </w:pPr>
      <w:rPr>
        <w:rFonts w:ascii="Courier New" w:hAnsi="Courier New" w:hint="default"/>
      </w:rPr>
    </w:lvl>
    <w:lvl w:ilvl="8" w:tplc="5F3007DC">
      <w:start w:val="1"/>
      <w:numFmt w:val="bullet"/>
      <w:lvlText w:val=""/>
      <w:lvlJc w:val="left"/>
      <w:pPr>
        <w:ind w:left="6480" w:hanging="360"/>
      </w:pPr>
      <w:rPr>
        <w:rFonts w:ascii="Wingdings" w:hAnsi="Wingdings" w:hint="default"/>
      </w:rPr>
    </w:lvl>
  </w:abstractNum>
  <w:abstractNum w:abstractNumId="3" w15:restartNumberingAfterBreak="0">
    <w:nsid w:val="78EE274E"/>
    <w:multiLevelType w:val="hybridMultilevel"/>
    <w:tmpl w:val="171C0708"/>
    <w:lvl w:ilvl="0" w:tplc="143A4E20">
      <w:start w:val="1"/>
      <w:numFmt w:val="bullet"/>
      <w:lvlText w:val=""/>
      <w:lvlJc w:val="left"/>
      <w:pPr>
        <w:ind w:left="720" w:hanging="360"/>
      </w:pPr>
      <w:rPr>
        <w:rFonts w:ascii="Symbol" w:hAnsi="Symbol" w:hint="default"/>
      </w:rPr>
    </w:lvl>
    <w:lvl w:ilvl="1" w:tplc="A9F254CA">
      <w:start w:val="1"/>
      <w:numFmt w:val="bullet"/>
      <w:lvlText w:val="o"/>
      <w:lvlJc w:val="left"/>
      <w:pPr>
        <w:ind w:left="1440" w:hanging="360"/>
      </w:pPr>
      <w:rPr>
        <w:rFonts w:ascii="Courier New" w:hAnsi="Courier New" w:hint="default"/>
      </w:rPr>
    </w:lvl>
    <w:lvl w:ilvl="2" w:tplc="2CA65308">
      <w:start w:val="1"/>
      <w:numFmt w:val="bullet"/>
      <w:lvlText w:val=""/>
      <w:lvlJc w:val="left"/>
      <w:pPr>
        <w:ind w:left="2160" w:hanging="360"/>
      </w:pPr>
      <w:rPr>
        <w:rFonts w:ascii="Wingdings" w:hAnsi="Wingdings" w:hint="default"/>
      </w:rPr>
    </w:lvl>
    <w:lvl w:ilvl="3" w:tplc="D75C635C">
      <w:start w:val="1"/>
      <w:numFmt w:val="bullet"/>
      <w:lvlText w:val=""/>
      <w:lvlJc w:val="left"/>
      <w:pPr>
        <w:ind w:left="2880" w:hanging="360"/>
      </w:pPr>
      <w:rPr>
        <w:rFonts w:ascii="Symbol" w:hAnsi="Symbol" w:hint="default"/>
      </w:rPr>
    </w:lvl>
    <w:lvl w:ilvl="4" w:tplc="401A8BCA">
      <w:start w:val="1"/>
      <w:numFmt w:val="bullet"/>
      <w:lvlText w:val="o"/>
      <w:lvlJc w:val="left"/>
      <w:pPr>
        <w:ind w:left="3600" w:hanging="360"/>
      </w:pPr>
      <w:rPr>
        <w:rFonts w:ascii="Courier New" w:hAnsi="Courier New" w:hint="default"/>
      </w:rPr>
    </w:lvl>
    <w:lvl w:ilvl="5" w:tplc="4F28FF90">
      <w:start w:val="1"/>
      <w:numFmt w:val="bullet"/>
      <w:lvlText w:val=""/>
      <w:lvlJc w:val="left"/>
      <w:pPr>
        <w:ind w:left="4320" w:hanging="360"/>
      </w:pPr>
      <w:rPr>
        <w:rFonts w:ascii="Wingdings" w:hAnsi="Wingdings" w:hint="default"/>
      </w:rPr>
    </w:lvl>
    <w:lvl w:ilvl="6" w:tplc="DF80E9D6">
      <w:start w:val="1"/>
      <w:numFmt w:val="bullet"/>
      <w:lvlText w:val=""/>
      <w:lvlJc w:val="left"/>
      <w:pPr>
        <w:ind w:left="5040" w:hanging="360"/>
      </w:pPr>
      <w:rPr>
        <w:rFonts w:ascii="Symbol" w:hAnsi="Symbol" w:hint="default"/>
      </w:rPr>
    </w:lvl>
    <w:lvl w:ilvl="7" w:tplc="5DE8FB36">
      <w:start w:val="1"/>
      <w:numFmt w:val="bullet"/>
      <w:lvlText w:val="o"/>
      <w:lvlJc w:val="left"/>
      <w:pPr>
        <w:ind w:left="5760" w:hanging="360"/>
      </w:pPr>
      <w:rPr>
        <w:rFonts w:ascii="Courier New" w:hAnsi="Courier New" w:hint="default"/>
      </w:rPr>
    </w:lvl>
    <w:lvl w:ilvl="8" w:tplc="DCD6A60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DB7"/>
    <w:rsid w:val="0004307C"/>
    <w:rsid w:val="00073E52"/>
    <w:rsid w:val="00091AB0"/>
    <w:rsid w:val="000D003B"/>
    <w:rsid w:val="00117720"/>
    <w:rsid w:val="00124D3C"/>
    <w:rsid w:val="00177272"/>
    <w:rsid w:val="00191F2E"/>
    <w:rsid w:val="001D3A6A"/>
    <w:rsid w:val="00224B7C"/>
    <w:rsid w:val="00226868"/>
    <w:rsid w:val="0027783C"/>
    <w:rsid w:val="002C720E"/>
    <w:rsid w:val="002D74B2"/>
    <w:rsid w:val="002F41FB"/>
    <w:rsid w:val="0030599B"/>
    <w:rsid w:val="003106CF"/>
    <w:rsid w:val="00315D3C"/>
    <w:rsid w:val="00331027"/>
    <w:rsid w:val="00346FAA"/>
    <w:rsid w:val="003B5868"/>
    <w:rsid w:val="00400942"/>
    <w:rsid w:val="00420C30"/>
    <w:rsid w:val="00423B43"/>
    <w:rsid w:val="00426EDF"/>
    <w:rsid w:val="00454862"/>
    <w:rsid w:val="00485C0F"/>
    <w:rsid w:val="004B51DE"/>
    <w:rsid w:val="004D49EB"/>
    <w:rsid w:val="00502D80"/>
    <w:rsid w:val="00517446"/>
    <w:rsid w:val="005261AB"/>
    <w:rsid w:val="00575BDC"/>
    <w:rsid w:val="005A2FF1"/>
    <w:rsid w:val="005C360F"/>
    <w:rsid w:val="005E1359"/>
    <w:rsid w:val="0074268D"/>
    <w:rsid w:val="00761545"/>
    <w:rsid w:val="007744CC"/>
    <w:rsid w:val="00794DC8"/>
    <w:rsid w:val="007B102C"/>
    <w:rsid w:val="007D132C"/>
    <w:rsid w:val="007E2CEF"/>
    <w:rsid w:val="00827304"/>
    <w:rsid w:val="008300AD"/>
    <w:rsid w:val="00884B33"/>
    <w:rsid w:val="008E08F0"/>
    <w:rsid w:val="00902E3B"/>
    <w:rsid w:val="0093503E"/>
    <w:rsid w:val="009A06CA"/>
    <w:rsid w:val="009A5D8A"/>
    <w:rsid w:val="009A7061"/>
    <w:rsid w:val="009D0053"/>
    <w:rsid w:val="009F59AA"/>
    <w:rsid w:val="00A01AF9"/>
    <w:rsid w:val="00A05FC4"/>
    <w:rsid w:val="00A10DB8"/>
    <w:rsid w:val="00A32432"/>
    <w:rsid w:val="00A54700"/>
    <w:rsid w:val="00A56668"/>
    <w:rsid w:val="00A91359"/>
    <w:rsid w:val="00AF1116"/>
    <w:rsid w:val="00B94DA4"/>
    <w:rsid w:val="00BA56F2"/>
    <w:rsid w:val="00BC5201"/>
    <w:rsid w:val="00BD4972"/>
    <w:rsid w:val="00BF475F"/>
    <w:rsid w:val="00C00ABE"/>
    <w:rsid w:val="00C31115"/>
    <w:rsid w:val="00C756E5"/>
    <w:rsid w:val="00CB6CD6"/>
    <w:rsid w:val="00CC4DB7"/>
    <w:rsid w:val="00D00493"/>
    <w:rsid w:val="00D37680"/>
    <w:rsid w:val="00D77376"/>
    <w:rsid w:val="00D8278B"/>
    <w:rsid w:val="00D84B1E"/>
    <w:rsid w:val="00D95CCB"/>
    <w:rsid w:val="00DB2ADD"/>
    <w:rsid w:val="00DD6894"/>
    <w:rsid w:val="00DD6EB8"/>
    <w:rsid w:val="00DF7EF8"/>
    <w:rsid w:val="00E36E03"/>
    <w:rsid w:val="00E461DF"/>
    <w:rsid w:val="00E519D4"/>
    <w:rsid w:val="00E65AB4"/>
    <w:rsid w:val="00F012A4"/>
    <w:rsid w:val="00F25338"/>
    <w:rsid w:val="00F769D2"/>
    <w:rsid w:val="00F95256"/>
    <w:rsid w:val="00FF34EC"/>
    <w:rsid w:val="02BA9ADB"/>
    <w:rsid w:val="076D9DAF"/>
    <w:rsid w:val="13A85F3B"/>
    <w:rsid w:val="14EA3940"/>
    <w:rsid w:val="1A1A9ABF"/>
    <w:rsid w:val="1CB6F222"/>
    <w:rsid w:val="1FFA9F36"/>
    <w:rsid w:val="2396B0AE"/>
    <w:rsid w:val="33C665F8"/>
    <w:rsid w:val="3455ECA2"/>
    <w:rsid w:val="35623659"/>
    <w:rsid w:val="37E3C573"/>
    <w:rsid w:val="3A3850E4"/>
    <w:rsid w:val="40BF6448"/>
    <w:rsid w:val="4AA074FB"/>
    <w:rsid w:val="59A0B945"/>
    <w:rsid w:val="5AE5DE4B"/>
    <w:rsid w:val="5EB7F267"/>
    <w:rsid w:val="6B417299"/>
    <w:rsid w:val="7014E3BC"/>
    <w:rsid w:val="71B0B41D"/>
    <w:rsid w:val="7560E47B"/>
    <w:rsid w:val="7722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6E2C"/>
  <w15:chartTrackingRefBased/>
  <w15:docId w15:val="{79106596-4DEA-43AC-9E6D-356457CF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Hyperlink">
    <w:name w:val="WP_Hyperlink"/>
    <w:basedOn w:val="DefaultParagraphFont"/>
    <w:rsid w:val="00CC4DB7"/>
    <w:rPr>
      <w:color w:val="0000FF"/>
      <w:u w:val="single"/>
    </w:rPr>
  </w:style>
  <w:style w:type="character" w:styleId="Hyperlink">
    <w:name w:val="Hyperlink"/>
    <w:uiPriority w:val="99"/>
    <w:unhideWhenUsed/>
    <w:rsid w:val="00F769D2"/>
    <w:rPr>
      <w:color w:val="0000FF"/>
      <w:u w:val="single"/>
    </w:rPr>
  </w:style>
  <w:style w:type="character" w:styleId="UnresolvedMention">
    <w:name w:val="Unresolved Mention"/>
    <w:basedOn w:val="DefaultParagraphFont"/>
    <w:uiPriority w:val="99"/>
    <w:semiHidden/>
    <w:unhideWhenUsed/>
    <w:rsid w:val="00F012A4"/>
    <w:rPr>
      <w:color w:val="605E5C"/>
      <w:shd w:val="clear" w:color="auto" w:fill="E1DFDD"/>
    </w:rPr>
  </w:style>
  <w:style w:type="character" w:styleId="CommentReference">
    <w:name w:val="annotation reference"/>
    <w:basedOn w:val="DefaultParagraphFont"/>
    <w:uiPriority w:val="99"/>
    <w:semiHidden/>
    <w:unhideWhenUsed/>
    <w:rsid w:val="007E2CEF"/>
    <w:rPr>
      <w:sz w:val="16"/>
      <w:szCs w:val="16"/>
    </w:rPr>
  </w:style>
  <w:style w:type="paragraph" w:styleId="CommentText">
    <w:name w:val="annotation text"/>
    <w:basedOn w:val="Normal"/>
    <w:link w:val="CommentTextChar"/>
    <w:uiPriority w:val="99"/>
    <w:semiHidden/>
    <w:unhideWhenUsed/>
    <w:rsid w:val="007E2CEF"/>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E2CEF"/>
    <w:rPr>
      <w:sz w:val="20"/>
      <w:szCs w:val="20"/>
    </w:rPr>
  </w:style>
  <w:style w:type="paragraph" w:styleId="CommentSubject">
    <w:name w:val="annotation subject"/>
    <w:basedOn w:val="CommentText"/>
    <w:next w:val="CommentText"/>
    <w:link w:val="CommentSubjectChar"/>
    <w:uiPriority w:val="99"/>
    <w:semiHidden/>
    <w:unhideWhenUsed/>
    <w:rsid w:val="000D003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D003B"/>
    <w:rPr>
      <w:rFonts w:ascii="Times New Roman" w:eastAsia="Times New Roman" w:hAnsi="Times New Roman" w:cs="Times New Roman"/>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55DC69DF48E446A10E8D96C6D947F8" ma:contentTypeVersion="10" ma:contentTypeDescription="Create a new document." ma:contentTypeScope="" ma:versionID="508492d8a6db6f0d1beb8e09f4e2a531">
  <xsd:schema xmlns:xsd="http://www.w3.org/2001/XMLSchema" xmlns:xs="http://www.w3.org/2001/XMLSchema" xmlns:p="http://schemas.microsoft.com/office/2006/metadata/properties" xmlns:ns2="b5fb7838-130d-4baa-a3f4-6298731ced67" xmlns:ns3="96baa3fd-1091-4d33-8a42-3d13f8f04ced" targetNamespace="http://schemas.microsoft.com/office/2006/metadata/properties" ma:root="true" ma:fieldsID="85a75765e8e935c407388e9306251ba7" ns2:_="" ns3:_="">
    <xsd:import namespace="b5fb7838-130d-4baa-a3f4-6298731ced67"/>
    <xsd:import namespace="96baa3fd-1091-4d33-8a42-3d13f8f04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b7838-130d-4baa-a3f4-6298731ce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aa3fd-1091-4d33-8a42-3d13f8f04c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F3246-3C5A-4C33-8404-EA124DB49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78ADC-7E27-413D-9CCD-ED4D83220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b7838-130d-4baa-a3f4-6298731ced67"/>
    <ds:schemaRef ds:uri="96baa3fd-1091-4d33-8a42-3d13f8f04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40F54-B51D-4167-B33C-EC2A8BC12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943</Words>
  <Characters>5381</Characters>
  <Application>Microsoft Office Word</Application>
  <DocSecurity>0</DocSecurity>
  <Lines>44</Lines>
  <Paragraphs>12</Paragraphs>
  <ScaleCrop>false</ScaleCrop>
  <Company>Oregon Law Center</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Thornburgh</dc:creator>
  <cp:keywords/>
  <dc:description/>
  <cp:lastModifiedBy>Monica Goracke</cp:lastModifiedBy>
  <cp:revision>9</cp:revision>
  <cp:lastPrinted>2017-02-23T22:21:00Z</cp:lastPrinted>
  <dcterms:created xsi:type="dcterms:W3CDTF">2022-01-07T00:19:00Z</dcterms:created>
  <dcterms:modified xsi:type="dcterms:W3CDTF">2022-01-07T01:14:00Z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0x010100F655DC69DF48E446A10E8D96C6D947F8</vt:lpwstr>
  </property>
  <property fmtid="{D5CDD505-2E9C-101B-9397-08002B2CF9AE}" pid="3" name="Order">
    <vt:r8>773800</vt:r8>
  </property>
</Properties>
</file>