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A067" w14:textId="77777777" w:rsidR="00FF7F3A" w:rsidRDefault="00FF7F3A" w:rsidP="00FF7F3A">
      <w:pPr>
        <w:autoSpaceDE w:val="0"/>
        <w:autoSpaceDN w:val="0"/>
        <w:adjustRightInd w:val="0"/>
        <w:rPr>
          <w:rFonts w:ascii="Arial" w:hAnsi="Arial" w:cs="Arial"/>
          <w:b/>
          <w:bCs/>
          <w:color w:val="000000"/>
        </w:rPr>
      </w:pPr>
      <w:r>
        <w:rPr>
          <w:rFonts w:ascii="Arial" w:hAnsi="Arial" w:cs="Arial"/>
          <w:b/>
          <w:bCs/>
          <w:color w:val="000000"/>
        </w:rPr>
        <w:t>University of Cincinnati, Dean of the College of Law</w:t>
      </w:r>
    </w:p>
    <w:p w14:paraId="2184516F" w14:textId="77777777" w:rsidR="00FF7F3A" w:rsidRDefault="00FF7F3A" w:rsidP="00FF7F3A">
      <w:pPr>
        <w:autoSpaceDE w:val="0"/>
        <w:autoSpaceDN w:val="0"/>
        <w:adjustRightInd w:val="0"/>
        <w:rPr>
          <w:rFonts w:ascii="Arial" w:hAnsi="Arial" w:cs="Arial"/>
          <w:color w:val="000000"/>
        </w:rPr>
      </w:pPr>
    </w:p>
    <w:p w14:paraId="6C34C3C6" w14:textId="77777777" w:rsidR="00FF7F3A" w:rsidRDefault="00FF7F3A" w:rsidP="00FF7F3A">
      <w:pPr>
        <w:autoSpaceDE w:val="0"/>
        <w:autoSpaceDN w:val="0"/>
        <w:adjustRightInd w:val="0"/>
        <w:rPr>
          <w:rFonts w:ascii="Arial" w:hAnsi="Arial" w:cs="Arial"/>
          <w:color w:val="000000"/>
        </w:rPr>
      </w:pPr>
      <w:r>
        <w:rPr>
          <w:rFonts w:ascii="Arial" w:hAnsi="Arial" w:cs="Arial"/>
          <w:color w:val="000000"/>
        </w:rPr>
        <w:t>The University of Cincinnati seeks an innovative and dynamic leader to serve as Dean of the College of Law. Reporting to the Provost and Senior Vice President for Academic Affairs, the Dean is the chief academic and administrative officer of the College of Law and a member of the Council of Deans, who actively participates in the governance of the university.</w:t>
      </w:r>
    </w:p>
    <w:p w14:paraId="3F476277" w14:textId="77777777" w:rsidR="00FF7F3A" w:rsidRDefault="00FF7F3A" w:rsidP="00FF7F3A">
      <w:pPr>
        <w:autoSpaceDE w:val="0"/>
        <w:autoSpaceDN w:val="0"/>
        <w:adjustRightInd w:val="0"/>
        <w:rPr>
          <w:rFonts w:ascii="Arial" w:hAnsi="Arial" w:cs="Arial"/>
          <w:color w:val="000000"/>
        </w:rPr>
      </w:pPr>
    </w:p>
    <w:p w14:paraId="3099397C" w14:textId="77777777" w:rsidR="00FF7F3A" w:rsidRDefault="00FF7F3A" w:rsidP="00FF7F3A">
      <w:pPr>
        <w:autoSpaceDE w:val="0"/>
        <w:autoSpaceDN w:val="0"/>
        <w:adjustRightInd w:val="0"/>
        <w:rPr>
          <w:rFonts w:ascii="Arial" w:hAnsi="Arial" w:cs="Arial"/>
          <w:color w:val="000000"/>
        </w:rPr>
      </w:pPr>
      <w:r>
        <w:rPr>
          <w:rFonts w:ascii="Arial" w:hAnsi="Arial" w:cs="Arial"/>
          <w:color w:val="000000"/>
        </w:rPr>
        <w:t>Within the University, the College of Law, with an enrollment of more than 400 students, is the fourth oldest continually operating law school in the nation, and it is committed to educate leaders in the pursuit of justice and the advancement of the role of law in society. Housed in a newly-opened building in the heart of campus, the college is committed to maintaining a robust and collegial learning environment that blends theory and practice including programs and clinics that focus on social justice and public service (the Urban Morgan Institute for Human Rights; the Lois and Richard Rosenthal Institute for Justice, Ohio’s only Innocence Project; the Center for Race, Gender, and Social Justice; the Domestic Violence and Civil Protection Order Clinic; the Indigent Defense Clinic; the Legal Access Clinic); business and corporate law (the Entrepreneurship and Community Development Clinic; the Patent and Trademark Clinic; the Corporate Law Center); trial, appellate and negotiation practice (the Sixth Circuit Clinic; the Center for Practice; and our Help Center for Hamilton County Municipal Court), and the Weaver Institute for Law and Psychiatry. To learn more about the renowned College of Law and its history, visit law.uc.edu.</w:t>
      </w:r>
    </w:p>
    <w:p w14:paraId="013F241D" w14:textId="77777777" w:rsidR="00FF7F3A" w:rsidRDefault="00FF7F3A" w:rsidP="00FF7F3A">
      <w:pPr>
        <w:autoSpaceDE w:val="0"/>
        <w:autoSpaceDN w:val="0"/>
        <w:adjustRightInd w:val="0"/>
        <w:rPr>
          <w:rFonts w:ascii="Arial" w:hAnsi="Arial" w:cs="Arial"/>
          <w:color w:val="000000"/>
        </w:rPr>
      </w:pPr>
    </w:p>
    <w:p w14:paraId="6E592CBF" w14:textId="77777777" w:rsidR="00FF7F3A" w:rsidRDefault="00FF7F3A" w:rsidP="00FF7F3A">
      <w:pPr>
        <w:autoSpaceDE w:val="0"/>
        <w:autoSpaceDN w:val="0"/>
        <w:adjustRightInd w:val="0"/>
        <w:rPr>
          <w:rFonts w:ascii="Arial" w:hAnsi="Arial" w:cs="Arial"/>
          <w:color w:val="000000"/>
        </w:rPr>
      </w:pPr>
      <w:r>
        <w:rPr>
          <w:rFonts w:ascii="Arial" w:hAnsi="Arial" w:cs="Arial"/>
          <w:color w:val="000000"/>
        </w:rPr>
        <w:t xml:space="preserve">Although selective in its admissions, enrollment in the College of Law has increased over the last two years, as it has expanded its instruction and collaborative reaches into undergraduate and law-related fields. The faculty is highly productive and creative, and committed </w:t>
      </w:r>
      <w:proofErr w:type="gramStart"/>
      <w:r>
        <w:rPr>
          <w:rFonts w:ascii="Arial" w:hAnsi="Arial" w:cs="Arial"/>
          <w:color w:val="000000"/>
        </w:rPr>
        <w:t>to:</w:t>
      </w:r>
      <w:proofErr w:type="gramEnd"/>
      <w:r>
        <w:rPr>
          <w:rFonts w:ascii="Arial" w:hAnsi="Arial" w:cs="Arial"/>
          <w:color w:val="000000"/>
        </w:rPr>
        <w:t xml:space="preserve"> foster diverse and innovative ideas about law in society; build collaborative relationships; and impart the knowledge, values, and competencies needed to excel in a changing world. This mission is evident in the College of Law's curriculum, which blends theory and practice in its centers, programs, and clinics. The College of Law's J.D. and LL.M. graduates have distinguished careers in law firms, businesses, state, federal, and foreign governments, nongovernmental organizations, and international institutions, and as judges and elected officials.</w:t>
      </w:r>
    </w:p>
    <w:p w14:paraId="6E168EC6" w14:textId="77777777" w:rsidR="00FF7F3A" w:rsidRDefault="00FF7F3A" w:rsidP="00FF7F3A">
      <w:pPr>
        <w:autoSpaceDE w:val="0"/>
        <w:autoSpaceDN w:val="0"/>
        <w:adjustRightInd w:val="0"/>
        <w:rPr>
          <w:rFonts w:ascii="Arial" w:hAnsi="Arial" w:cs="Arial"/>
          <w:color w:val="000000"/>
        </w:rPr>
      </w:pPr>
    </w:p>
    <w:p w14:paraId="7270432E" w14:textId="77777777" w:rsidR="00FF7F3A" w:rsidRDefault="00FF7F3A" w:rsidP="00FF7F3A">
      <w:pPr>
        <w:autoSpaceDE w:val="0"/>
        <w:autoSpaceDN w:val="0"/>
        <w:adjustRightInd w:val="0"/>
        <w:rPr>
          <w:rFonts w:ascii="Arial" w:hAnsi="Arial" w:cs="Arial"/>
          <w:color w:val="000000"/>
        </w:rPr>
      </w:pPr>
      <w:r>
        <w:rPr>
          <w:rFonts w:ascii="Arial" w:hAnsi="Arial" w:cs="Arial"/>
          <w:color w:val="000000"/>
        </w:rPr>
        <w:t>As the intellectual and administrative leader of the law school, the next Dean will play a key role in developing new ideas and forging consensus among stakeholders to build upon current and past successes and further strengthen the College in a changing legal market.</w:t>
      </w:r>
    </w:p>
    <w:p w14:paraId="57CE2249" w14:textId="77777777" w:rsidR="00FF7F3A" w:rsidRDefault="00FF7F3A" w:rsidP="00FF7F3A">
      <w:pPr>
        <w:autoSpaceDE w:val="0"/>
        <w:autoSpaceDN w:val="0"/>
        <w:adjustRightInd w:val="0"/>
        <w:rPr>
          <w:rFonts w:ascii="Arial" w:hAnsi="Arial" w:cs="Arial"/>
          <w:color w:val="000000"/>
        </w:rPr>
      </w:pPr>
    </w:p>
    <w:p w14:paraId="1A063DFD" w14:textId="77777777" w:rsidR="00FF7F3A" w:rsidRDefault="00FF7F3A" w:rsidP="00FF7F3A">
      <w:pPr>
        <w:autoSpaceDE w:val="0"/>
        <w:autoSpaceDN w:val="0"/>
        <w:adjustRightInd w:val="0"/>
        <w:rPr>
          <w:rFonts w:ascii="Arial" w:hAnsi="Arial" w:cs="Arial"/>
          <w:color w:val="000000"/>
        </w:rPr>
      </w:pPr>
      <w:r>
        <w:rPr>
          <w:rFonts w:ascii="Arial" w:hAnsi="Arial" w:cs="Arial"/>
          <w:color w:val="000000"/>
        </w:rPr>
        <w:t xml:space="preserve">The ideal candidate will have a distinguished professional background that reflects the candidate's potential for leadership in achieving and maintaining excellence and innovation in teaching, research, scholarship and service, as well as fundraising and superior communication skills. Candidates may demonstrate the capacity to fill the position by records of distinction in any of the following fields: legal education, the </w:t>
      </w:r>
      <w:r>
        <w:rPr>
          <w:rFonts w:ascii="Arial" w:hAnsi="Arial" w:cs="Arial"/>
          <w:color w:val="000000"/>
        </w:rPr>
        <w:lastRenderedPageBreak/>
        <w:t>judiciary, the practice of law or government service. More information can be found at https://www.wittkieffer.com/position/24134-dean-of-the-college-of-law/.</w:t>
      </w:r>
    </w:p>
    <w:p w14:paraId="7C84C2DC" w14:textId="77777777" w:rsidR="00FF7F3A" w:rsidRDefault="00FF7F3A" w:rsidP="00FF7F3A">
      <w:pPr>
        <w:autoSpaceDE w:val="0"/>
        <w:autoSpaceDN w:val="0"/>
        <w:adjustRightInd w:val="0"/>
        <w:rPr>
          <w:rFonts w:ascii="Arial" w:hAnsi="Arial" w:cs="Arial"/>
          <w:color w:val="000000"/>
        </w:rPr>
      </w:pPr>
    </w:p>
    <w:p w14:paraId="0C347BB8" w14:textId="77777777" w:rsidR="00FF7F3A" w:rsidRDefault="00FF7F3A" w:rsidP="00FF7F3A">
      <w:pPr>
        <w:autoSpaceDE w:val="0"/>
        <w:autoSpaceDN w:val="0"/>
        <w:adjustRightInd w:val="0"/>
        <w:rPr>
          <w:rFonts w:ascii="Arial" w:hAnsi="Arial" w:cs="Arial"/>
          <w:color w:val="000000"/>
        </w:rPr>
      </w:pPr>
      <w:r>
        <w:rPr>
          <w:rFonts w:ascii="Arial" w:hAnsi="Arial" w:cs="Arial"/>
          <w:color w:val="000000"/>
        </w:rPr>
        <w:t>All applications, nominations and inquiries are invited. Applications should include, as separate documents, a CV or resume and a letter of interest addressing the themes in the leadership profile. In addition, the University of Cincinnati, as a multi-national and culturally diverse university, is committed to providing an inclusive, equitable and diverse place of learning and employment. As part of a complete job application, you will be asked to provide a Contribution to Diversity of Inclusion statement. For fullest consideration, candidate materials should be received by January 30, 2023.</w:t>
      </w:r>
    </w:p>
    <w:p w14:paraId="547AF6D1" w14:textId="77777777" w:rsidR="00FF7F3A" w:rsidRDefault="00FF7F3A" w:rsidP="00FF7F3A">
      <w:pPr>
        <w:autoSpaceDE w:val="0"/>
        <w:autoSpaceDN w:val="0"/>
        <w:adjustRightInd w:val="0"/>
        <w:rPr>
          <w:rFonts w:ascii="Arial" w:hAnsi="Arial" w:cs="Arial"/>
          <w:color w:val="000000"/>
        </w:rPr>
      </w:pPr>
    </w:p>
    <w:p w14:paraId="0C5B99E1" w14:textId="77777777" w:rsidR="00FF7F3A" w:rsidRDefault="00FF7F3A" w:rsidP="00FF7F3A">
      <w:pPr>
        <w:autoSpaceDE w:val="0"/>
        <w:autoSpaceDN w:val="0"/>
        <w:adjustRightInd w:val="0"/>
        <w:rPr>
          <w:rFonts w:ascii="Arial" w:hAnsi="Arial" w:cs="Arial"/>
          <w:color w:val="000000"/>
        </w:rPr>
      </w:pPr>
      <w:r>
        <w:rPr>
          <w:rFonts w:ascii="Arial" w:hAnsi="Arial" w:cs="Arial"/>
          <w:color w:val="000000"/>
        </w:rPr>
        <w:t xml:space="preserve">Application materials should be submitted through </w:t>
      </w:r>
      <w:proofErr w:type="spellStart"/>
      <w:r>
        <w:rPr>
          <w:rFonts w:ascii="Arial" w:hAnsi="Arial" w:cs="Arial"/>
          <w:color w:val="000000"/>
        </w:rPr>
        <w:t>WittKieffer’s</w:t>
      </w:r>
      <w:proofErr w:type="spellEnd"/>
      <w:r>
        <w:rPr>
          <w:rFonts w:ascii="Arial" w:hAnsi="Arial" w:cs="Arial"/>
          <w:color w:val="000000"/>
        </w:rPr>
        <w:t xml:space="preserve"> https://apptrkr.com/3722113.</w:t>
      </w:r>
    </w:p>
    <w:p w14:paraId="312AFA12" w14:textId="77777777" w:rsidR="00FF7F3A" w:rsidRDefault="00FF7F3A" w:rsidP="00FF7F3A">
      <w:pPr>
        <w:autoSpaceDE w:val="0"/>
        <w:autoSpaceDN w:val="0"/>
        <w:adjustRightInd w:val="0"/>
        <w:rPr>
          <w:rFonts w:ascii="Arial" w:hAnsi="Arial" w:cs="Arial"/>
          <w:color w:val="000000"/>
        </w:rPr>
      </w:pPr>
    </w:p>
    <w:p w14:paraId="58C85A41" w14:textId="77777777" w:rsidR="00FF7F3A" w:rsidRDefault="00FF7F3A" w:rsidP="00FF7F3A">
      <w:pPr>
        <w:autoSpaceDE w:val="0"/>
        <w:autoSpaceDN w:val="0"/>
        <w:adjustRightInd w:val="0"/>
        <w:rPr>
          <w:rFonts w:ascii="Arial" w:hAnsi="Arial" w:cs="Arial"/>
          <w:color w:val="000000"/>
        </w:rPr>
      </w:pPr>
      <w:r>
        <w:rPr>
          <w:rFonts w:ascii="Arial" w:hAnsi="Arial" w:cs="Arial"/>
          <w:color w:val="000000"/>
        </w:rPr>
        <w:t>Nominations and inquiries can be directed to:</w:t>
      </w:r>
    </w:p>
    <w:p w14:paraId="193B6807" w14:textId="77777777" w:rsidR="00FF7F3A" w:rsidRDefault="00FF7F3A" w:rsidP="00FF7F3A">
      <w:pPr>
        <w:autoSpaceDE w:val="0"/>
        <w:autoSpaceDN w:val="0"/>
        <w:adjustRightInd w:val="0"/>
        <w:rPr>
          <w:rFonts w:ascii="Arial" w:hAnsi="Arial" w:cs="Arial"/>
          <w:color w:val="000000"/>
        </w:rPr>
      </w:pPr>
    </w:p>
    <w:p w14:paraId="1712840D" w14:textId="77777777" w:rsidR="00FF7F3A" w:rsidRDefault="00FF7F3A" w:rsidP="00FF7F3A">
      <w:pPr>
        <w:autoSpaceDE w:val="0"/>
        <w:autoSpaceDN w:val="0"/>
        <w:adjustRightInd w:val="0"/>
        <w:rPr>
          <w:rFonts w:ascii="Arial" w:hAnsi="Arial" w:cs="Arial"/>
          <w:color w:val="000000"/>
        </w:rPr>
      </w:pPr>
      <w:r>
        <w:rPr>
          <w:rFonts w:ascii="Arial" w:hAnsi="Arial" w:cs="Arial"/>
          <w:color w:val="000000"/>
        </w:rPr>
        <w:t xml:space="preserve">Werner </w:t>
      </w:r>
      <w:proofErr w:type="spellStart"/>
      <w:r>
        <w:rPr>
          <w:rFonts w:ascii="Arial" w:hAnsi="Arial" w:cs="Arial"/>
          <w:color w:val="000000"/>
        </w:rPr>
        <w:t>Boel</w:t>
      </w:r>
      <w:proofErr w:type="spellEnd"/>
      <w:r>
        <w:rPr>
          <w:rFonts w:ascii="Arial" w:hAnsi="Arial" w:cs="Arial"/>
          <w:color w:val="000000"/>
        </w:rPr>
        <w:t xml:space="preserve"> and Ashlee Winters Musser</w:t>
      </w:r>
    </w:p>
    <w:p w14:paraId="3C60A058" w14:textId="77777777" w:rsidR="00FF7F3A" w:rsidRDefault="00FF7F3A" w:rsidP="00FF7F3A">
      <w:pPr>
        <w:autoSpaceDE w:val="0"/>
        <w:autoSpaceDN w:val="0"/>
        <w:adjustRightInd w:val="0"/>
        <w:rPr>
          <w:rFonts w:ascii="Arial" w:hAnsi="Arial" w:cs="Arial"/>
          <w:color w:val="000000"/>
        </w:rPr>
      </w:pPr>
    </w:p>
    <w:p w14:paraId="61F41D98" w14:textId="77777777" w:rsidR="00FF7F3A" w:rsidRDefault="00FF7F3A" w:rsidP="00FF7F3A">
      <w:pPr>
        <w:autoSpaceDE w:val="0"/>
        <w:autoSpaceDN w:val="0"/>
        <w:adjustRightInd w:val="0"/>
        <w:rPr>
          <w:rFonts w:ascii="Arial" w:hAnsi="Arial" w:cs="Arial"/>
          <w:color w:val="000000"/>
        </w:rPr>
      </w:pPr>
      <w:r>
        <w:rPr>
          <w:rFonts w:ascii="Arial" w:hAnsi="Arial" w:cs="Arial"/>
          <w:color w:val="000000"/>
        </w:rPr>
        <w:t>CincinnatiLawDean@wittkieffer.com</w:t>
      </w:r>
    </w:p>
    <w:p w14:paraId="6D2030F3" w14:textId="77777777" w:rsidR="00FF7F3A" w:rsidRDefault="00FF7F3A" w:rsidP="00FF7F3A">
      <w:pPr>
        <w:autoSpaceDE w:val="0"/>
        <w:autoSpaceDN w:val="0"/>
        <w:adjustRightInd w:val="0"/>
        <w:rPr>
          <w:rFonts w:ascii="Arial" w:hAnsi="Arial" w:cs="Arial"/>
          <w:color w:val="000000"/>
        </w:rPr>
      </w:pPr>
    </w:p>
    <w:p w14:paraId="7E3BEFE0" w14:textId="0702C73A" w:rsidR="00DB64FB" w:rsidRPr="00FF7F3A" w:rsidRDefault="00FF7F3A" w:rsidP="00FF7F3A">
      <w:r>
        <w:rPr>
          <w:rFonts w:ascii="Arial" w:hAnsi="Arial" w:cs="Arial"/>
          <w:b/>
          <w:bCs/>
          <w:color w:val="000000"/>
        </w:rPr>
        <w:t>The University of Cincinnati is an Affirmative Action/ Equal Opportunity Employer/M/F/Veteran/Disabled.</w:t>
      </w:r>
    </w:p>
    <w:sectPr w:rsidR="00DB64FB" w:rsidRPr="00FF7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3A"/>
    <w:rsid w:val="00DB64FB"/>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441259"/>
  <w15:chartTrackingRefBased/>
  <w15:docId w15:val="{06EA9A58-2054-CE49-B7DD-56F17320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Hiral Trivedi</dc:creator>
  <cp:keywords/>
  <dc:description/>
  <cp:lastModifiedBy>Hiral Trivedi</cp:lastModifiedBy>
  <cp:revision>1</cp:revision>
  <dcterms:created xsi:type="dcterms:W3CDTF">2022-12-19T20:53:00Z</dcterms:created>
  <dcterms:modified xsi:type="dcterms:W3CDTF">2022-12-19T20:53:00Z</dcterms:modified>
</cp:coreProperties>
</file>